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971rnjfjq8kb" w:id="0"/>
    <w:bookmarkEnd w:id="0"/>
    <w:p w:rsidR="00000000" w:rsidDel="00000000" w:rsidP="00000000" w:rsidRDefault="00000000" w:rsidRPr="00000000" w14:paraId="00000001">
      <w:pPr>
        <w:pStyle w:val="Heading1"/>
        <w:spacing w:after="0" w:before="0" w:line="276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RELAZIONE DI STIMA E CONGRUITÀ DELL’INVESTIMENTO</w:t>
      </w:r>
    </w:p>
    <w:p w:rsidR="00000000" w:rsidDel="00000000" w:rsidP="00000000" w:rsidRDefault="00000000" w:rsidRPr="00000000" w14:paraId="00000002">
      <w:pPr>
        <w:spacing w:after="0" w:before="0" w:line="276" w:lineRule="auto"/>
        <w:rPr>
          <w:rFonts w:ascii="Arial" w:cs="Arial" w:eastAsia="Arial" w:hAnsi="Arial"/>
          <w:b w:val="1"/>
          <w:bCs w:val="1"/>
          <w:sz w:val="28"/>
          <w:szCs w:val="28"/>
        </w:rPr>
      </w:pPr>
      <w:r w:rsidDel="00000000" w:rsidR="00000000" w:rsidRPr="00000000">
        <w:rPr>
          <w:rtl w:val="0"/>
        </w:rPr>
      </w:r>
    </w:p>
    <w:bookmarkStart w:colFirst="0" w:colLast="0" w:name="bookmark=id.wjfetwrd67q2" w:id="1"/>
    <w:bookmarkEnd w:id="1"/>
    <w:p w:rsidR="00000000" w:rsidDel="00000000" w:rsidP="00000000" w:rsidRDefault="00000000" w:rsidRPr="00000000" w14:paraId="00000003">
      <w:pPr>
        <w:pStyle w:val="Heading2"/>
        <w:spacing w:after="0" w:before="0" w:line="276" w:lineRule="auto"/>
        <w:rPr>
          <w:rFonts w:ascii="Arial" w:cs="Arial" w:eastAsia="Arial" w:hAnsi="Arial"/>
          <w:b w:val="1"/>
          <w:bCs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8"/>
          <w:szCs w:val="28"/>
          <w:rtl w:val="0"/>
        </w:rPr>
        <w:t xml:space="preserve">Intervento: Rifacimento Spogliatoi – Palazzetto dello Sport “Palaverde”</w:t>
      </w:r>
    </w:p>
    <w:p w:rsidR="00000000" w:rsidDel="00000000" w:rsidP="00000000" w:rsidRDefault="00000000" w:rsidRPr="00000000" w14:paraId="00000004">
      <w:pPr>
        <w:spacing w:after="0" w:before="0" w:line="276" w:lineRule="auto"/>
        <w:rPr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Proponente:</w:t>
      </w:r>
      <w:r w:rsidDel="00000000" w:rsidR="00000000" w:rsidRPr="00000000">
        <w:rPr>
          <w:sz w:val="28"/>
          <w:szCs w:val="28"/>
          <w:rtl w:val="0"/>
        </w:rPr>
        <w:t xml:space="preserve"> ASD Dinamica Pensare Sport</w:t>
      </w:r>
      <w:r w:rsidDel="00000000" w:rsidR="00000000" w:rsidRPr="00000000">
        <w:rPr>
          <w:rtl w:val="0"/>
        </w:rPr>
      </w:r>
    </w:p>
    <w:bookmarkStart w:colFirst="0" w:colLast="0" w:name="bookmark=id.aywozsp52j0w" w:id="2"/>
    <w:bookmarkEnd w:id="2"/>
    <w:p w:rsidR="00000000" w:rsidDel="00000000" w:rsidP="00000000" w:rsidRDefault="00000000" w:rsidRPr="00000000" w14:paraId="00000005">
      <w:pPr>
        <w:pStyle w:val="Heading2"/>
        <w:spacing w:after="0" w:before="0" w:line="276" w:lineRule="auto"/>
        <w:rPr>
          <w:sz w:val="36"/>
          <w:szCs w:val="36"/>
        </w:rPr>
      </w:pPr>
      <w:r w:rsidDel="00000000" w:rsidR="00000000" w:rsidRPr="00000000">
        <w:rPr>
          <w:rFonts w:ascii="Aptos" w:cs="Aptos" w:eastAsia="Aptos" w:hAnsi="Aptos"/>
          <w:b w:val="1"/>
          <w:bCs w:val="1"/>
          <w:color w:val="000000"/>
          <w:sz w:val="28"/>
          <w:szCs w:val="28"/>
          <w:rtl w:val="0"/>
        </w:rPr>
        <w:t xml:space="preserve">Riferimenti normativi: D.Lgs. 36/2023; Allegato I.7; D.Lgs. 38/2021; Prezziari Regionali e DEI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kix.nudohi2wxu7r" w:id="3"/>
    <w:bookmarkEnd w:id="3"/>
    <w:p w:rsidR="00000000" w:rsidDel="00000000" w:rsidP="00000000" w:rsidRDefault="00000000" w:rsidRPr="00000000" w14:paraId="00000007">
      <w:pPr>
        <w:pStyle w:val="Heading2"/>
        <w:spacing w:after="0" w:before="0" w:line="276" w:lineRule="auto"/>
        <w:rPr/>
      </w:pPr>
      <w:bookmarkStart w:colFirst="0" w:colLast="0" w:name="_heading=h.x8fhdwrd90ig" w:id="4"/>
      <w:bookmarkEnd w:id="4"/>
      <w:r w:rsidDel="00000000" w:rsidR="00000000" w:rsidRPr="00000000">
        <w:rPr>
          <w:b w:val="1"/>
          <w:bCs w:val="1"/>
          <w:rtl w:val="0"/>
        </w:rPr>
        <w:t xml:space="preserve">1. PREMESSA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presente Relazione di Stima e Congruità dell’Investimento è redatta ai sensi del D.Lgs. 36/2023 e dell’Allegato I.7, ed è finalizzata a comprovare la ragionevolezza tecnica ed economica dell’importo dei lavori relativi al rifacimento dei quattro spogliatoi del Palazzetto dello Sport “Palaverde” del Comune di Passirano.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Essa si basa: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sul computo metrico estimativo trasmesso;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sui prezzi desunti dai listini regionali e dal Prezzario DEI;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sui parametri di mercato relativi a interventi analoghi;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sulla valutazione del ciclo di vita delle opere e degli impianti.</w:t>
      </w:r>
    </w:p>
    <w:p w:rsidR="00000000" w:rsidDel="00000000" w:rsidP="00000000" w:rsidRDefault="00000000" w:rsidRPr="00000000" w14:paraId="0000000E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ktwhrzuxzdms" w:id="5"/>
    <w:bookmarkEnd w:id="5"/>
    <w:p w:rsidR="00000000" w:rsidDel="00000000" w:rsidP="00000000" w:rsidRDefault="00000000" w:rsidRPr="00000000" w14:paraId="0000000F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bookmarkStart w:colFirst="0" w:colLast="0" w:name="_heading=h.ccvkji5gdqu9" w:id="6"/>
      <w:bookmarkEnd w:id="6"/>
      <w:r w:rsidDel="00000000" w:rsidR="00000000" w:rsidRPr="00000000">
        <w:rPr>
          <w:b w:val="1"/>
          <w:bCs w:val="1"/>
          <w:rtl w:val="0"/>
        </w:rPr>
        <w:t xml:space="preserve">2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b w:val="1"/>
          <w:bCs w:val="1"/>
          <w:rtl w:val="0"/>
        </w:rPr>
        <w:t xml:space="preserve">OGGETTO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bCs w:val="1"/>
          <w:rtl w:val="0"/>
        </w:rPr>
        <w:t xml:space="preserve">DELLA STIMA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 scopo della presente relazione è: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verificare la congruità economica del valore complessivo dell’intervento;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attestare la coerenza dei prezzi con i Prezzari Ufficiali;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dimostrare la proporzionalità dell’investimento rispetto alla durata della concessione proposta (15 anni);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fornire al Comune un quadro trasparente e motivato dell’investimento.</w:t>
      </w:r>
    </w:p>
    <w:p w:rsidR="00000000" w:rsidDel="00000000" w:rsidP="00000000" w:rsidRDefault="00000000" w:rsidRPr="00000000" w14:paraId="00000015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b0w637mkz337" w:id="7"/>
    <w:bookmarkEnd w:id="7"/>
    <w:p w:rsidR="00000000" w:rsidDel="00000000" w:rsidP="00000000" w:rsidRDefault="00000000" w:rsidRPr="00000000" w14:paraId="00000016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bookmarkStart w:colFirst="0" w:colLast="0" w:name="_heading=h.goc958vi6g57" w:id="8"/>
      <w:bookmarkEnd w:id="8"/>
      <w:r w:rsidDel="00000000" w:rsidR="00000000" w:rsidRPr="00000000">
        <w:rPr>
          <w:b w:val="1"/>
          <w:bCs w:val="1"/>
          <w:rtl w:val="0"/>
        </w:rPr>
        <w:t xml:space="preserve">3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b w:val="1"/>
          <w:bCs w:val="1"/>
          <w:rtl w:val="0"/>
        </w:rPr>
        <w:t xml:space="preserve">RIFERIMENTI UTILIZZATI PER LA STIMA</w:t>
      </w:r>
      <w:r w:rsidDel="00000000" w:rsidR="00000000" w:rsidRPr="00000000">
        <w:rPr>
          <w:rtl w:val="0"/>
        </w:rPr>
      </w:r>
    </w:p>
    <w:bookmarkStart w:colFirst="0" w:colLast="0" w:name="bookmark=id.fckepdyqr01m" w:id="9"/>
    <w:bookmarkEnd w:id="9"/>
    <w:p w:rsidR="00000000" w:rsidDel="00000000" w:rsidP="00000000" w:rsidRDefault="00000000" w:rsidRPr="00000000" w14:paraId="00000017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3.1 </w:t>
      </w:r>
      <w:r w:rsidDel="00000000" w:rsidR="00000000" w:rsidRPr="00000000">
        <w:rPr>
          <w:rFonts w:ascii="Arial" w:cs="Arial" w:eastAsia="Arial" w:hAnsi="Arial"/>
          <w:rtl w:val="0"/>
        </w:rPr>
        <w:t xml:space="preserve">Prezzari</w:t>
      </w:r>
      <w:r w:rsidDel="00000000" w:rsidR="00000000" w:rsidRPr="00000000">
        <w:rPr>
          <w:rtl w:val="0"/>
        </w:rPr>
        <w:t xml:space="preserve"> ufficiali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stima del computo metrico fa riferimento 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Prezzario Regionale delle Opere Pubbliche Lombardia;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Prezzario DEI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Impianti Tecnologici e Opere Edili;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Prezzi medi di mercato aggiornati al 2024.</w:t>
      </w:r>
    </w:p>
    <w:bookmarkStart w:colFirst="0" w:colLast="0" w:name="bookmark=id.k46c7l37nrox" w:id="10"/>
    <w:bookmarkEnd w:id="10"/>
    <w:p w:rsidR="00000000" w:rsidDel="00000000" w:rsidP="00000000" w:rsidRDefault="00000000" w:rsidRPr="00000000" w14:paraId="0000001D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3.2 Comparazione con interventi similari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Sono stati considerati anche parametri economici medi per interventi omogenei, relativi 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rifacimento completo di spogliatoi sportivi;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sostituzione impiantistica idrico-sanitaria;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rifacimento aree docce;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finiture e pavimenti specifici per locali soggetti a elevata umidità.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Gli importi individuati risultano perfettamente in linea con i valori medi di mercato.</w:t>
      </w:r>
    </w:p>
    <w:p w:rsidR="00000000" w:rsidDel="00000000" w:rsidP="00000000" w:rsidRDefault="00000000" w:rsidRPr="00000000" w14:paraId="00000024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fufoa2vkiu6p" w:id="11"/>
    <w:bookmarkEnd w:id="11"/>
    <w:p w:rsidR="00000000" w:rsidDel="00000000" w:rsidP="00000000" w:rsidRDefault="00000000" w:rsidRPr="00000000" w14:paraId="00000025">
      <w:pPr>
        <w:pStyle w:val="Heading2"/>
        <w:spacing w:after="0" w:before="0" w:line="276" w:lineRule="auto"/>
        <w:rPr/>
      </w:pPr>
      <w:r w:rsidDel="00000000" w:rsidR="00000000" w:rsidRPr="00000000">
        <w:rPr>
          <w:b w:val="1"/>
          <w:bCs w:val="1"/>
          <w:rtl w:val="0"/>
        </w:rPr>
        <w:t xml:space="preserve">4. ARTICOLAZIONE DELL’INVESTIMENTO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L’intervento comprende gli elementi seguenti:</w:t>
      </w:r>
    </w:p>
    <w:bookmarkStart w:colFirst="0" w:colLast="0" w:name="bookmark=id.lqrvg6r19pah" w:id="12"/>
    <w:bookmarkEnd w:id="12"/>
    <w:p w:rsidR="00000000" w:rsidDel="00000000" w:rsidP="00000000" w:rsidRDefault="00000000" w:rsidRPr="00000000" w14:paraId="00000027">
      <w:pPr>
        <w:pStyle w:val="Heading3"/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4.1 Opere edili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demolizioni;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rifacimento massetti e sottofondi;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pavimentazioni antiscivolo;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rivestimenti ceramici conformi CAM;</w:t>
      </w:r>
    </w:p>
    <w:bookmarkStart w:colFirst="0" w:colLast="0" w:name="bookmark=id.1xvi65o6ppse" w:id="13"/>
    <w:bookmarkEnd w:id="13"/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4.2 Impianto idrico-sanitario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rete idrica nuova;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reti di scarico rinnovate;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rubinetterie a risparmio idrico;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dotazioni sanitarie e gruppi doccia.</w:t>
      </w:r>
    </w:p>
    <w:p w:rsidR="00000000" w:rsidDel="00000000" w:rsidP="00000000" w:rsidRDefault="00000000" w:rsidRPr="00000000" w14:paraId="00000031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3to39jdsanzo" w:id="14"/>
    <w:bookmarkEnd w:id="14"/>
    <w:p w:rsidR="00000000" w:rsidDel="00000000" w:rsidP="00000000" w:rsidRDefault="00000000" w:rsidRPr="00000000" w14:paraId="00000032">
      <w:pPr>
        <w:pStyle w:val="Heading2"/>
        <w:spacing w:after="0" w:before="0" w:line="276" w:lineRule="auto"/>
        <w:rPr/>
      </w:pPr>
      <w:r w:rsidDel="00000000" w:rsidR="00000000" w:rsidRPr="00000000">
        <w:rPr>
          <w:b w:val="1"/>
          <w:bCs w:val="1"/>
          <w:rtl w:val="0"/>
        </w:rPr>
        <w:t xml:space="preserve">5. CONGRUITÀ ECONOMICA DELL’INVESTIMENTO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L’importo complessivo dei lavori, così come emerge dal computo metrico, può essere considerato congruo in relazione a diversi fattori. Innanzitutto, esso risulta coerente con la quantità e la qualità delle lavorazioni previste, che sono state valutate nella loro effettiva complessità e nel loro grado di specializzazione. Allo stesso modo, l’importo tiene conto delle necessità di adeguamento igienico-sanitario, imprescindibili per garantire condizioni conformi alla normativa vigente e agli standard richiesti.</w:t>
      </w:r>
    </w:p>
    <w:p w:rsidR="00000000" w:rsidDel="00000000" w:rsidP="00000000" w:rsidRDefault="00000000" w:rsidRPr="00000000" w14:paraId="00000034">
      <w:pPr>
        <w:spacing w:after="0" w:before="0" w:line="276" w:lineRule="auto"/>
        <w:rPr>
          <w:shd w:fill="fff2cc" w:val="clear"/>
        </w:rPr>
      </w:pPr>
      <w:r w:rsidDel="00000000" w:rsidR="00000000" w:rsidRPr="00000000">
        <w:rPr>
          <w:rtl w:val="0"/>
        </w:rPr>
        <w:t xml:space="preserve">Inoltre, la stima economica riflette il ciclo di vita dei materiali e degli impianti da realizzare o sostituire, contemplando soluzioni che assicurino durabilità e contenimento dei costi di manutenzione nel lungo periodo. Infine, il valore complessivo si conferma allineato ai costi medi registrati per interventi similari, rappresentando dunque un importo equilibrato e giustificato rispetto al quadro tecnico ed economico di riferimento.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before="0" w:line="276" w:lineRule="auto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particolare: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i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prezzi delle pavimentazioni e delle ceramiche risultano coerenti con il Prezzario regionale;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l’impianto idrico-sanitario presenta valori in linea con il Prezzario DEI;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costi di demolizione e ripristino sono pienamente compatibili con contesti di edilizia sportiva.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congruità complessiva è ulteriormente confermata dal rapporto tra importo lavori e superficie interessata, che rientra nei parametri di mercato per spogliatoi completamente rinnovati.</w:t>
      </w:r>
    </w:p>
    <w:p w:rsidR="00000000" w:rsidDel="00000000" w:rsidP="00000000" w:rsidRDefault="00000000" w:rsidRPr="00000000" w14:paraId="0000003A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201i0i85hy7o" w:id="15"/>
    <w:bookmarkEnd w:id="15"/>
    <w:p w:rsidR="00000000" w:rsidDel="00000000" w:rsidP="00000000" w:rsidRDefault="00000000" w:rsidRPr="00000000" w14:paraId="0000003B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bCs w:val="1"/>
          <w:rtl w:val="0"/>
        </w:rPr>
        <w:t xml:space="preserve">6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b w:val="1"/>
          <w:bCs w:val="1"/>
          <w:rtl w:val="0"/>
        </w:rPr>
        <w:t xml:space="preserve">GIUSTIFICAZIONE DELLA SCELTA DEI MATERIALI E DELLE TECNOLOGIE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lavorazioni previste nel computo metrico risultano tecnicamente corrette e prevedono materiali conformi ai CAM Edilizia, con benefici in termini di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durevolezza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facilità di pulizia e sanificazione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riduzione consumi idrici</w:t>
      </w:r>
      <w:r w:rsidDel="00000000" w:rsidR="00000000" w:rsidRPr="00000000">
        <w:rPr>
          <w:rtl w:val="0"/>
        </w:rPr>
        <w:t xml:space="preserve"> e una </w:t>
      </w: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minor manutenzione straordinaria nel tempo.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hd w:fill="fff2cc" w:val="clear"/>
        </w:rPr>
      </w:pPr>
      <w:r w:rsidDel="00000000" w:rsidR="00000000" w:rsidRPr="00000000">
        <w:rPr>
          <w:rtl w:val="0"/>
        </w:rPr>
        <w:t xml:space="preserve">La decisione di installare nuovi impianti idrico-sanitari assicura un pieno adeguamento alle normative attualmente in vigore e consente di disporre di sistemi progettati per un ciclo di vita coerente con la durata della concessione quindicennale. Questa scelta, inoltre, contribuisce a ridurre in modo significativo il rischio di guasti e, di conseguenza, i costi manutentivi che si renderebbero necessari nel corso degli anni.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bookmark=id.dt6q52ge1opd" w:id="16"/>
    <w:bookmarkEnd w:id="16"/>
    <w:p w:rsidR="00000000" w:rsidDel="00000000" w:rsidP="00000000" w:rsidRDefault="00000000" w:rsidRPr="00000000" w14:paraId="00000040">
      <w:pPr>
        <w:pStyle w:val="Heading2"/>
        <w:spacing w:after="0" w:before="0" w:line="276" w:lineRule="auto"/>
        <w:rPr/>
      </w:pPr>
      <w:r w:rsidDel="00000000" w:rsidR="00000000" w:rsidRPr="00000000">
        <w:rPr>
          <w:b w:val="1"/>
          <w:bCs w:val="1"/>
          <w:rtl w:val="0"/>
        </w:rPr>
        <w:t xml:space="preserve">7. PROPORZIONALITÀ DELL’INVESTIMENTO RISPETTO ALLA DURATA DELLA CONCESSIONE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L’investimento è proporzionato alla richiesta di durata della concessione per i seguenti motivi: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ciclo di vita tecnico dei materiali e impianti è compreso tra 12 e 18 anni;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gestione sportiva necessita di poter ammortizzare gli interventi in un orizzonte congruo;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una durata inferiore genererebbe squilibrio economico nel PEF e minore capacità manutentiva;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una durata maggiore non risulta necessaria né proporzionata alla natura dell’intervento.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La durata di quindici anni si rivela pertanto ottimale perché consente di assicurare una gestione sostenibile nel tempo, permettendo al concessionario di recuperare l’investimento effettuato e di mantenere in equilibrio il piano economico-finanziario. Allo stesso modo, questo orizzonte temporale garantisce adeguati livelli di tutela sia per gli utenti sia per il Comune, che può contare su un servizio stabile e correttamente programmato.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before="0" w:line="27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76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200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Rule="auto"/>
      <w:jc w:val="center"/>
    </w:pPr>
    <w:rPr>
      <w:rFonts w:ascii="Play" w:cs="Play" w:eastAsia="Play" w:hAnsi="Play"/>
      <w:sz w:val="56"/>
      <w:szCs w:val="56"/>
    </w:rPr>
  </w:style>
  <w:style w:type="paragraph" w:styleId="Titolo7">
    <w:name w:val="heading 7"/>
    <w:basedOn w:val="Normale"/>
    <w:next w:val="Corpotesto"/>
    <w:link w:val="Titolo7Carattere"/>
    <w:uiPriority w:val="9"/>
    <w:semiHidden w:val="1"/>
    <w:unhideWhenUsed w:val="1"/>
    <w:qFormat w:val="1"/>
    <w:rsid w:val="00A10FD9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olo8">
    <w:name w:val="heading 8"/>
    <w:basedOn w:val="Normale"/>
    <w:next w:val="Corpotesto"/>
    <w:link w:val="Titolo8Carattere"/>
    <w:uiPriority w:val="9"/>
    <w:semiHidden w:val="1"/>
    <w:unhideWhenUsed w:val="1"/>
    <w:qFormat w:val="1"/>
    <w:rsid w:val="00A10FD9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olo9">
    <w:name w:val="heading 9"/>
    <w:basedOn w:val="Normale"/>
    <w:next w:val="Corpotesto"/>
    <w:link w:val="Titolo9Carattere"/>
    <w:uiPriority w:val="9"/>
    <w:semiHidden w:val="1"/>
    <w:unhideWhenUsed w:val="1"/>
    <w:qFormat w:val="1"/>
    <w:rsid w:val="00A10FD9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Corpotesto">
    <w:name w:val="Body Text"/>
    <w:basedOn w:val="Normale"/>
    <w:qFormat w:val="1"/>
    <w:pPr>
      <w:spacing w:after="180" w:before="180"/>
    </w:pPr>
  </w:style>
  <w:style w:type="paragraph" w:styleId="FirstParagraph" w:customStyle="1">
    <w:name w:val="First Paragraph"/>
    <w:basedOn w:val="Corpotesto"/>
    <w:next w:val="Corpotesto"/>
    <w:qFormat w:val="1"/>
  </w:style>
  <w:style w:type="paragraph" w:styleId="Compact" w:customStyle="1">
    <w:name w:val="Compact"/>
    <w:basedOn w:val="Corpotesto"/>
    <w:qFormat w:val="1"/>
    <w:pPr>
      <w:spacing w:after="36" w:before="36"/>
    </w:pPr>
  </w:style>
  <w:style w:type="character" w:styleId="TitoloCarattere" w:customStyle="1">
    <w:name w:val="Titolo Carattere"/>
    <w:basedOn w:val="Carpredefinitoparagrafo"/>
    <w:link w:val="Titolo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A10FD9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Author" w:customStyle="1">
    <w:name w:val="Author"/>
    <w:next w:val="Corpotesto"/>
    <w:qFormat w:val="1"/>
    <w:pPr>
      <w:keepNext w:val="1"/>
      <w:keepLines w:val="1"/>
      <w:jc w:val="center"/>
    </w:pPr>
  </w:style>
  <w:style w:type="paragraph" w:styleId="Data">
    <w:name w:val="Date"/>
    <w:next w:val="Corpotesto"/>
    <w:qFormat w:val="1"/>
    <w:pPr>
      <w:keepNext w:val="1"/>
      <w:keepLines w:val="1"/>
      <w:jc w:val="center"/>
    </w:pPr>
  </w:style>
  <w:style w:type="paragraph" w:styleId="AbstractTitle" w:customStyle="1">
    <w:name w:val="Abstract Title"/>
    <w:basedOn w:val="Normale"/>
    <w:next w:val="Abstract"/>
    <w:qFormat w:val="1"/>
    <w:pPr>
      <w:keepNext w:val="1"/>
      <w:keepLines w:val="1"/>
      <w:spacing w:after="0" w:before="300"/>
      <w:jc w:val="center"/>
    </w:pPr>
    <w:rPr>
      <w:b w:val="1"/>
      <w:sz w:val="20"/>
      <w:szCs w:val="20"/>
    </w:rPr>
  </w:style>
  <w:style w:type="paragraph" w:styleId="Abstract" w:customStyle="1">
    <w:name w:val="Abstract"/>
    <w:basedOn w:val="Normale"/>
    <w:next w:val="Corpotesto"/>
    <w:qFormat w:val="1"/>
    <w:pPr>
      <w:keepNext w:val="1"/>
      <w:keepLines w:val="1"/>
      <w:spacing w:after="300" w:before="100"/>
    </w:pPr>
    <w:rPr>
      <w:sz w:val="20"/>
      <w:szCs w:val="20"/>
    </w:rPr>
  </w:style>
  <w:style w:type="paragraph" w:styleId="Bibliografia">
    <w:name w:val="Bibliography"/>
    <w:basedOn w:val="Normale"/>
    <w:qFormat w:val="1"/>
  </w:style>
  <w:style w:type="character" w:styleId="Titolo1Carattere" w:customStyle="1">
    <w:name w:val="Titolo 1 Carattere"/>
    <w:basedOn w:val="Carpredefinitoparagrafo"/>
    <w:link w:val="Titolo1"/>
    <w:uiPriority w:val="9"/>
    <w:rsid w:val="00A10FD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A10FD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 w:val="1"/>
    <w:rsid w:val="00A10FD9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A10FD9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A10FD9"/>
    <w:rPr>
      <w:rFonts w:cstheme="majorBidi" w:eastAsiaTheme="majorEastAsia"/>
      <w:color w:val="0f4761" w:themeColor="accent1" w:themeShade="0000BF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A10FD9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A10FD9"/>
    <w:rPr>
      <w:rFonts w:cstheme="majorBidi" w:eastAsiaTheme="majorEastAsia"/>
      <w:color w:val="595959" w:themeColor="text1" w:themeTint="0000A6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A10FD9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A10FD9"/>
    <w:rPr>
      <w:rFonts w:cstheme="majorBidi" w:eastAsiaTheme="majorEastAsia"/>
      <w:color w:val="272727" w:themeColor="text1" w:themeTint="0000D8"/>
    </w:rPr>
  </w:style>
  <w:style w:type="paragraph" w:styleId="Testodelblocco">
    <w:name w:val="Block Text"/>
    <w:basedOn w:val="Corpotesto"/>
    <w:next w:val="Corpotesto"/>
    <w:uiPriority w:val="9"/>
    <w:unhideWhenUsed w:val="1"/>
    <w:qFormat w:val="1"/>
    <w:pPr>
      <w:spacing w:after="100" w:before="100"/>
      <w:ind w:left="480" w:right="480"/>
    </w:pPr>
  </w:style>
  <w:style w:type="paragraph" w:styleId="Testonotaapidipagina">
    <w:name w:val="footnote text"/>
    <w:basedOn w:val="Normale"/>
    <w:uiPriority w:val="9"/>
    <w:unhideWhenUsed w:val="1"/>
    <w:qFormat w:val="1"/>
  </w:style>
  <w:style w:type="paragraph" w:styleId="FootnoteBlockText" w:customStyle="1">
    <w:name w:val="Footnote Block Text"/>
    <w:basedOn w:val="Testonotaapidipagina"/>
    <w:next w:val="Testonotaapidipagina"/>
    <w:uiPriority w:val="9"/>
    <w:unhideWhenUsed w:val="1"/>
    <w:qFormat w:val="1"/>
    <w:pPr>
      <w:spacing w:after="100" w:before="100"/>
      <w:ind w:left="480" w:right="480"/>
    </w:pPr>
  </w:style>
  <w:style w:type="table" w:styleId="Table" w:customStyle="1">
    <w:name w:val="Table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firstRow">
      <w:tblPr>
        <w:jc w:val="left"/>
      </w:tblPr>
      <w:trPr>
        <w:jc w:val="left"/>
      </w:trPr>
      <w:tcPr>
        <w:tcBorders>
          <w:bottom w:color="auto" w:space="0" w:sz="0" w:val="single"/>
        </w:tcBorders>
        <w:vAlign w:val="bottom"/>
      </w:tcPr>
    </w:tblStylePr>
  </w:style>
  <w:style w:type="paragraph" w:styleId="DefinitionTerm" w:customStyle="1">
    <w:name w:val="Definition Term"/>
    <w:basedOn w:val="Normale"/>
    <w:next w:val="Definition"/>
    <w:pPr>
      <w:keepNext w:val="1"/>
      <w:keepLines w:val="1"/>
      <w:spacing w:after="0"/>
    </w:pPr>
    <w:rPr>
      <w:b w:val="1"/>
    </w:rPr>
  </w:style>
  <w:style w:type="paragraph" w:styleId="Definition" w:customStyle="1">
    <w:name w:val="Definition"/>
    <w:basedOn w:val="Normale"/>
  </w:style>
  <w:style w:type="paragraph" w:styleId="Didascalia">
    <w:name w:val="caption"/>
    <w:basedOn w:val="Normale"/>
    <w:link w:val="DidascaliaCarattere"/>
    <w:pPr>
      <w:spacing w:after="120"/>
    </w:pPr>
    <w:rPr>
      <w:i w:val="1"/>
    </w:rPr>
  </w:style>
  <w:style w:type="paragraph" w:styleId="TableCaption" w:customStyle="1">
    <w:name w:val="Table Caption"/>
    <w:basedOn w:val="Didascalia"/>
    <w:pPr>
      <w:keepNext w:val="1"/>
    </w:pPr>
  </w:style>
  <w:style w:type="paragraph" w:styleId="ImageCaption" w:customStyle="1">
    <w:name w:val="Image Caption"/>
    <w:basedOn w:val="Didascalia"/>
  </w:style>
  <w:style w:type="paragraph" w:styleId="Figure" w:customStyle="1">
    <w:name w:val="Figure"/>
    <w:basedOn w:val="Normale"/>
  </w:style>
  <w:style w:type="paragraph" w:styleId="CaptionedFigure" w:customStyle="1">
    <w:name w:val="Captioned Figure"/>
    <w:basedOn w:val="Figure"/>
    <w:pPr>
      <w:keepNext w:val="1"/>
    </w:pPr>
  </w:style>
  <w:style w:type="character" w:styleId="DidascaliaCarattere" w:customStyle="1">
    <w:name w:val="Didascalia Carattere"/>
    <w:basedOn w:val="Carpredefinitoparagrafo"/>
    <w:link w:val="Didascalia"/>
  </w:style>
  <w:style w:type="character" w:styleId="VerbatimChar" w:customStyle="1">
    <w:name w:val="Verbatim Char"/>
    <w:basedOn w:val="DidascaliaCarattere"/>
    <w:link w:val="SourceCode"/>
    <w:rPr>
      <w:rFonts w:ascii="Consolas" w:hAnsi="Consolas"/>
      <w:sz w:val="22"/>
    </w:rPr>
  </w:style>
  <w:style w:type="character" w:styleId="SectionNumber" w:customStyle="1">
    <w:name w:val="Section Number"/>
    <w:basedOn w:val="DidascaliaCarattere"/>
  </w:style>
  <w:style w:type="character" w:styleId="Rimandonotaapidipagina">
    <w:name w:val="footnote reference"/>
    <w:basedOn w:val="DidascaliaCarattere"/>
    <w:rPr>
      <w:vertAlign w:val="superscript"/>
    </w:rPr>
  </w:style>
  <w:style w:type="character" w:styleId="Collegamentoipertestuale">
    <w:name w:val="Hyperlink"/>
    <w:basedOn w:val="DidascaliaCarattere"/>
    <w:rPr>
      <w:color w:val="156082" w:themeColor="accent1"/>
    </w:rPr>
  </w:style>
  <w:style w:type="paragraph" w:styleId="Titolosommario">
    <w:name w:val="TOC Heading"/>
    <w:basedOn w:val="Titolo1"/>
    <w:next w:val="Corpotesto"/>
    <w:uiPriority w:val="39"/>
    <w:unhideWhenUsed w:val="1"/>
    <w:qFormat w:val="1"/>
    <w:pPr>
      <w:spacing w:before="240" w:line="259" w:lineRule="auto"/>
      <w:outlineLvl w:val="9"/>
    </w:pPr>
  </w:style>
  <w:style w:type="paragraph" w:styleId="SourceCode" w:customStyle="1">
    <w:name w:val="Source Code"/>
    <w:basedOn w:val="Normale"/>
    <w:link w:val="VerbatimChar"/>
    <w:pPr>
      <w:wordWrap w:val="0"/>
    </w:pPr>
  </w:style>
  <w:style w:type="character" w:styleId="KeywordTok" w:customStyle="1">
    <w:name w:val="KeywordTok"/>
    <w:basedOn w:val="VerbatimChar"/>
    <w:rPr>
      <w:rFonts w:ascii="Consolas" w:hAnsi="Consolas"/>
      <w:b w:val="1"/>
      <w:color w:val="007020"/>
      <w:sz w:val="22"/>
    </w:rPr>
  </w:style>
  <w:style w:type="character" w:styleId="DataTypeTok" w:customStyle="1">
    <w:name w:val="DataTypeTok"/>
    <w:basedOn w:val="VerbatimChar"/>
    <w:rPr>
      <w:rFonts w:ascii="Consolas" w:hAnsi="Consolas"/>
      <w:color w:val="902000"/>
      <w:sz w:val="22"/>
    </w:rPr>
  </w:style>
  <w:style w:type="character" w:styleId="DecValTok" w:customStyle="1">
    <w:name w:val="DecValTok"/>
    <w:basedOn w:val="VerbatimChar"/>
    <w:rPr>
      <w:rFonts w:ascii="Consolas" w:hAnsi="Consolas"/>
      <w:color w:val="40a070"/>
      <w:sz w:val="22"/>
    </w:rPr>
  </w:style>
  <w:style w:type="character" w:styleId="BaseNTok" w:customStyle="1">
    <w:name w:val="BaseNTok"/>
    <w:basedOn w:val="VerbatimChar"/>
    <w:rPr>
      <w:rFonts w:ascii="Consolas" w:hAnsi="Consolas"/>
      <w:color w:val="40a070"/>
      <w:sz w:val="22"/>
    </w:rPr>
  </w:style>
  <w:style w:type="character" w:styleId="FloatTok" w:customStyle="1">
    <w:name w:val="FloatTok"/>
    <w:basedOn w:val="VerbatimChar"/>
    <w:rPr>
      <w:rFonts w:ascii="Consolas" w:hAnsi="Consolas"/>
      <w:color w:val="40a070"/>
      <w:sz w:val="22"/>
    </w:rPr>
  </w:style>
  <w:style w:type="character" w:styleId="ConstantTok" w:customStyle="1">
    <w:name w:val="ConstantTok"/>
    <w:basedOn w:val="VerbatimChar"/>
    <w:rPr>
      <w:rFonts w:ascii="Consolas" w:hAnsi="Consolas"/>
      <w:color w:val="880000"/>
      <w:sz w:val="22"/>
    </w:rPr>
  </w:style>
  <w:style w:type="character" w:styleId="CharTok" w:customStyle="1">
    <w:name w:val="CharTok"/>
    <w:basedOn w:val="VerbatimChar"/>
    <w:rPr>
      <w:rFonts w:ascii="Consolas" w:hAnsi="Consolas"/>
      <w:color w:val="4070a0"/>
      <w:sz w:val="22"/>
    </w:rPr>
  </w:style>
  <w:style w:type="character" w:styleId="SpecialCharTok" w:customStyle="1">
    <w:name w:val="SpecialCharTok"/>
    <w:basedOn w:val="VerbatimChar"/>
    <w:rPr>
      <w:rFonts w:ascii="Consolas" w:hAnsi="Consolas"/>
      <w:color w:val="4070a0"/>
      <w:sz w:val="22"/>
    </w:rPr>
  </w:style>
  <w:style w:type="character" w:styleId="StringTok" w:customStyle="1">
    <w:name w:val="StringTok"/>
    <w:basedOn w:val="VerbatimChar"/>
    <w:rPr>
      <w:rFonts w:ascii="Consolas" w:hAnsi="Consolas"/>
      <w:color w:val="4070a0"/>
      <w:sz w:val="22"/>
    </w:rPr>
  </w:style>
  <w:style w:type="character" w:styleId="VerbatimStringTok" w:customStyle="1">
    <w:name w:val="VerbatimStringTok"/>
    <w:basedOn w:val="VerbatimChar"/>
    <w:rPr>
      <w:rFonts w:ascii="Consolas" w:hAnsi="Consolas"/>
      <w:color w:val="4070a0"/>
      <w:sz w:val="22"/>
    </w:rPr>
  </w:style>
  <w:style w:type="character" w:styleId="SpecialStringTok" w:customStyle="1">
    <w:name w:val="SpecialStringTok"/>
    <w:basedOn w:val="VerbatimChar"/>
    <w:rPr>
      <w:rFonts w:ascii="Consolas" w:hAnsi="Consolas"/>
      <w:color w:val="bb6688"/>
      <w:sz w:val="22"/>
    </w:rPr>
  </w:style>
  <w:style w:type="character" w:styleId="ImportTok" w:customStyle="1">
    <w:name w:val="ImportTok"/>
    <w:basedOn w:val="VerbatimChar"/>
    <w:rPr>
      <w:rFonts w:ascii="Consolas" w:hAnsi="Consolas"/>
      <w:b w:val="1"/>
      <w:color w:val="008000"/>
      <w:sz w:val="22"/>
    </w:rPr>
  </w:style>
  <w:style w:type="character" w:styleId="CommentTok" w:customStyle="1">
    <w:name w:val="CommentTok"/>
    <w:basedOn w:val="VerbatimChar"/>
    <w:rPr>
      <w:rFonts w:ascii="Consolas" w:hAnsi="Consolas"/>
      <w:i w:val="1"/>
      <w:color w:val="60a0b0"/>
      <w:sz w:val="22"/>
    </w:rPr>
  </w:style>
  <w:style w:type="character" w:styleId="DocumentationTok" w:customStyle="1">
    <w:name w:val="DocumentationTok"/>
    <w:basedOn w:val="VerbatimChar"/>
    <w:rPr>
      <w:rFonts w:ascii="Consolas" w:hAnsi="Consolas"/>
      <w:i w:val="1"/>
      <w:color w:val="ba2121"/>
      <w:sz w:val="22"/>
    </w:rPr>
  </w:style>
  <w:style w:type="character" w:styleId="AnnotationTok" w:customStyle="1">
    <w:name w:val="Annotation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CommentVarTok" w:customStyle="1">
    <w:name w:val="CommentVar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OtherTok" w:customStyle="1">
    <w:name w:val="OtherTok"/>
    <w:basedOn w:val="VerbatimChar"/>
    <w:rPr>
      <w:rFonts w:ascii="Consolas" w:hAnsi="Consolas"/>
      <w:color w:val="007020"/>
      <w:sz w:val="22"/>
    </w:rPr>
  </w:style>
  <w:style w:type="character" w:styleId="FunctionTok" w:customStyle="1">
    <w:name w:val="FunctionTok"/>
    <w:basedOn w:val="VerbatimChar"/>
    <w:rPr>
      <w:rFonts w:ascii="Consolas" w:hAnsi="Consolas"/>
      <w:color w:val="06287e"/>
      <w:sz w:val="22"/>
    </w:rPr>
  </w:style>
  <w:style w:type="character" w:styleId="VariableTok" w:customStyle="1">
    <w:name w:val="VariableTok"/>
    <w:basedOn w:val="VerbatimChar"/>
    <w:rPr>
      <w:rFonts w:ascii="Consolas" w:hAnsi="Consolas"/>
      <w:color w:val="19177c"/>
      <w:sz w:val="22"/>
    </w:rPr>
  </w:style>
  <w:style w:type="character" w:styleId="ControlFlowTok" w:customStyle="1">
    <w:name w:val="ControlFlowTok"/>
    <w:basedOn w:val="VerbatimChar"/>
    <w:rPr>
      <w:rFonts w:ascii="Consolas" w:hAnsi="Consolas"/>
      <w:b w:val="1"/>
      <w:color w:val="007020"/>
      <w:sz w:val="22"/>
    </w:rPr>
  </w:style>
  <w:style w:type="character" w:styleId="OperatorTok" w:customStyle="1">
    <w:name w:val="OperatorTok"/>
    <w:basedOn w:val="VerbatimChar"/>
    <w:rPr>
      <w:rFonts w:ascii="Consolas" w:hAnsi="Consolas"/>
      <w:color w:val="666666"/>
      <w:sz w:val="22"/>
    </w:rPr>
  </w:style>
  <w:style w:type="character" w:styleId="BuiltInTok" w:customStyle="1">
    <w:name w:val="BuiltInTok"/>
    <w:basedOn w:val="VerbatimChar"/>
    <w:rPr>
      <w:rFonts w:ascii="Consolas" w:hAnsi="Consolas"/>
      <w:color w:val="008000"/>
      <w:sz w:val="22"/>
    </w:rPr>
  </w:style>
  <w:style w:type="character" w:styleId="ExtensionTok" w:customStyle="1">
    <w:name w:val="ExtensionTok"/>
    <w:basedOn w:val="VerbatimChar"/>
    <w:rPr>
      <w:rFonts w:ascii="Consolas" w:hAnsi="Consolas"/>
      <w:sz w:val="22"/>
    </w:rPr>
  </w:style>
  <w:style w:type="character" w:styleId="PreprocessorTok" w:customStyle="1">
    <w:name w:val="PreprocessorTok"/>
    <w:basedOn w:val="VerbatimChar"/>
    <w:rPr>
      <w:rFonts w:ascii="Consolas" w:hAnsi="Consolas"/>
      <w:color w:val="bc7a00"/>
      <w:sz w:val="22"/>
    </w:rPr>
  </w:style>
  <w:style w:type="character" w:styleId="AttributeTok" w:customStyle="1">
    <w:name w:val="AttributeTok"/>
    <w:basedOn w:val="VerbatimChar"/>
    <w:rPr>
      <w:rFonts w:ascii="Consolas" w:hAnsi="Consolas"/>
      <w:color w:val="7d9029"/>
      <w:sz w:val="22"/>
    </w:rPr>
  </w:style>
  <w:style w:type="character" w:styleId="RegionMarkerTok" w:customStyle="1">
    <w:name w:val="RegionMarkerTok"/>
    <w:basedOn w:val="VerbatimChar"/>
    <w:rPr>
      <w:rFonts w:ascii="Consolas" w:hAnsi="Consolas"/>
      <w:sz w:val="22"/>
    </w:rPr>
  </w:style>
  <w:style w:type="character" w:styleId="InformationTok" w:customStyle="1">
    <w:name w:val="Information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WarningTok" w:customStyle="1">
    <w:name w:val="WarningTok"/>
    <w:basedOn w:val="VerbatimChar"/>
    <w:rPr>
      <w:rFonts w:ascii="Consolas" w:hAnsi="Consolas"/>
      <w:b w:val="1"/>
      <w:i w:val="1"/>
      <w:color w:val="60a0b0"/>
      <w:sz w:val="22"/>
    </w:rPr>
  </w:style>
  <w:style w:type="character" w:styleId="AlertTok" w:customStyle="1">
    <w:name w:val="AlertTok"/>
    <w:basedOn w:val="VerbatimChar"/>
    <w:rPr>
      <w:rFonts w:ascii="Consolas" w:hAnsi="Consolas"/>
      <w:b w:val="1"/>
      <w:color w:val="ff0000"/>
      <w:sz w:val="22"/>
    </w:rPr>
  </w:style>
  <w:style w:type="character" w:styleId="ErrorTok" w:customStyle="1">
    <w:name w:val="ErrorTok"/>
    <w:basedOn w:val="VerbatimChar"/>
    <w:rPr>
      <w:rFonts w:ascii="Consolas" w:hAnsi="Consolas"/>
      <w:b w:val="1"/>
      <w:color w:val="ff0000"/>
      <w:sz w:val="22"/>
    </w:rPr>
  </w:style>
  <w:style w:type="character" w:styleId="NormalTok" w:customStyle="1">
    <w:name w:val="NormalTok"/>
    <w:basedOn w:val="VerbatimChar"/>
    <w:rPr>
      <w:rFonts w:ascii="Consolas" w:hAnsi="Consolas"/>
      <w:sz w:val="22"/>
    </w:rPr>
  </w:style>
  <w:style w:type="paragraph" w:styleId="Subtitle">
    <w:name w:val="Subtitle"/>
    <w:basedOn w:val="Normal"/>
    <w:next w:val="Normal"/>
    <w:pPr>
      <w:spacing w:after="80" w:lineRule="auto"/>
      <w:jc w:val="center"/>
    </w:pPr>
    <w:rPr>
      <w:rFonts w:ascii="Play" w:cs="Play" w:eastAsia="Play" w:hAnsi="Play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XgQi7L9rNQU8qUz/REgNhr5dNA==">CgMxLjAyD2lkLjk3MXJuamZqcThrYjIPaWQud2pmZXR3cmQ2N3EyMg9pZC5heXdvenNwNTJqMHcyEGtpeC5udWRvaGkyd3h1N3IyDmgueDhmaGR3cmQ5MGlnMg9pZC5rdHdocnp1eHpkbXMyDmguY2N2a2ppNWdkcXU5Mg9pZC5iMHc2Mzdta3ozMzcyDmguZ29jOTU4dmk2ZzU3Mg9pZC5mY2tlcGR5cXIwMW0yD2lkLms0NmM3bDM3bnJveDIPaWQuZnVmb2EydmtpdTZwMg9pZC5scXJ2ZzZyMTlwYWgyD2lkLjF4dmk2NW82cHBzZTIPaWQuM3RvMzlqZHNhbnpvMg9pZC4yMDFpMGk4NWh5N28yD2lkLmR0NnE1MmdlMW9wZDgAciExaV93c3I2SVV3ZEQtNEx5LWpBMkMya3hCOXl4U011Yl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2025-12-02T07:14:00Z</dcterms:created>
  <dc:creator>Paola Perani</dc:creator>
</cp:coreProperties>
</file>